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jc w:val="center"/>
        <w:rPr>
          <w:b/>
          <w:sz w:val="36"/>
          <w:szCs w:val="36"/>
          <w:lang w:eastAsia="zh-CN"/>
        </w:rPr>
      </w:pPr>
      <w:r>
        <w:rPr>
          <w:rFonts w:hint="eastAsia"/>
          <w:b/>
          <w:sz w:val="36"/>
          <w:szCs w:val="36"/>
          <w:lang w:eastAsia="zh-CN"/>
        </w:rPr>
        <w:t>法定数字货币创新研究开放课题</w:t>
      </w:r>
    </w:p>
    <w:p>
      <w:pPr>
        <w:adjustRightInd w:val="0"/>
        <w:snapToGrid w:val="0"/>
        <w:spacing w:line="560" w:lineRule="exact"/>
        <w:jc w:val="center"/>
        <w:rPr>
          <w:b/>
          <w:sz w:val="36"/>
          <w:szCs w:val="36"/>
          <w:lang w:eastAsia="zh-CN"/>
        </w:rPr>
      </w:pPr>
      <w:r>
        <w:rPr>
          <w:rFonts w:hint="eastAsia"/>
          <w:b/>
          <w:sz w:val="36"/>
          <w:szCs w:val="36"/>
          <w:lang w:eastAsia="zh-CN"/>
        </w:rPr>
        <w:t>参考方向（2021</w:t>
      </w:r>
      <w:r>
        <w:rPr>
          <w:rFonts w:hint="eastAsia"/>
          <w:b/>
          <w:sz w:val="36"/>
          <w:szCs w:val="36"/>
          <w:lang w:val="en-US" w:eastAsia="zh-CN"/>
        </w:rPr>
        <w:t>年度</w:t>
      </w:r>
      <w:r>
        <w:rPr>
          <w:rFonts w:hint="eastAsia"/>
          <w:b/>
          <w:sz w:val="36"/>
          <w:szCs w:val="36"/>
          <w:lang w:eastAsia="zh-CN"/>
        </w:rPr>
        <w:t>）</w:t>
      </w:r>
      <w:bookmarkStart w:id="0" w:name="_GoBack"/>
      <w:bookmarkEnd w:id="0"/>
    </w:p>
    <w:p>
      <w:pPr>
        <w:pStyle w:val="2"/>
        <w:adjustRightInd w:val="0"/>
        <w:snapToGrid w:val="0"/>
        <w:spacing w:line="560" w:lineRule="exact"/>
        <w:ind w:left="0" w:firstLine="643" w:firstLineChars="200"/>
        <w:jc w:val="both"/>
        <w:rPr>
          <w:b/>
          <w:lang w:eastAsia="zh-CN"/>
        </w:rPr>
      </w:pPr>
    </w:p>
    <w:p>
      <w:pPr>
        <w:adjustRightInd w:val="0"/>
        <w:snapToGrid w:val="0"/>
        <w:spacing w:line="560" w:lineRule="exact"/>
        <w:jc w:val="center"/>
        <w:rPr>
          <w:b/>
          <w:sz w:val="32"/>
          <w:szCs w:val="32"/>
          <w:lang w:eastAsia="zh-CN"/>
        </w:rPr>
      </w:pPr>
      <w:r>
        <w:rPr>
          <w:rFonts w:hint="eastAsia"/>
          <w:b/>
          <w:sz w:val="32"/>
          <w:szCs w:val="32"/>
          <w:lang w:eastAsia="zh-CN"/>
        </w:rPr>
        <w:t>理论创新研究</w:t>
      </w:r>
    </w:p>
    <w:p>
      <w:pPr>
        <w:adjustRightInd w:val="0"/>
        <w:snapToGrid w:val="0"/>
        <w:spacing w:line="560" w:lineRule="exact"/>
        <w:jc w:val="center"/>
        <w:rPr>
          <w:b/>
          <w:sz w:val="32"/>
          <w:szCs w:val="32"/>
          <w:lang w:eastAsia="zh-CN"/>
        </w:rPr>
      </w:pPr>
    </w:p>
    <w:p>
      <w:pPr>
        <w:numPr>
          <w:numId w:val="0"/>
        </w:numPr>
        <w:tabs>
          <w:tab w:val="left" w:pos="1023"/>
        </w:tabs>
        <w:adjustRightInd w:val="0"/>
        <w:snapToGrid w:val="0"/>
        <w:spacing w:line="560" w:lineRule="exact"/>
        <w:jc w:val="both"/>
        <w:rPr>
          <w:b/>
          <w:sz w:val="32"/>
          <w:szCs w:val="32"/>
          <w:lang w:eastAsia="zh-CN"/>
        </w:rPr>
      </w:pPr>
      <w:r>
        <w:rPr>
          <w:rFonts w:hint="eastAsia"/>
          <w:b/>
          <w:sz w:val="32"/>
          <w:szCs w:val="32"/>
          <w:lang w:eastAsia="zh-CN"/>
        </w:rPr>
        <w:t>1.法定数字货币的宏观经济、货币经济建模</w:t>
      </w:r>
    </w:p>
    <w:p>
      <w:pPr>
        <w:pStyle w:val="5"/>
        <w:tabs>
          <w:tab w:val="left" w:pos="1023"/>
        </w:tabs>
        <w:adjustRightInd w:val="0"/>
        <w:snapToGrid w:val="0"/>
        <w:spacing w:line="560" w:lineRule="exact"/>
        <w:ind w:firstLine="640" w:firstLineChars="200"/>
        <w:jc w:val="both"/>
        <w:rPr>
          <w:sz w:val="32"/>
          <w:szCs w:val="32"/>
          <w:lang w:eastAsia="zh-CN"/>
        </w:rPr>
      </w:pPr>
      <w:r>
        <w:rPr>
          <w:rFonts w:hint="eastAsia"/>
          <w:sz w:val="32"/>
          <w:szCs w:val="32"/>
          <w:lang w:eastAsia="zh-CN"/>
        </w:rPr>
        <w:t>运用货币经济学理论与方法，从货币三大职能（记账单位、交易媒介、价值储藏）考察法定数字货币的经济学涵义，进行数理抽象，构建科学与令人信服的货币经济学模型。</w:t>
      </w:r>
    </w:p>
    <w:p>
      <w:pPr>
        <w:numPr>
          <w:numId w:val="0"/>
        </w:numPr>
        <w:tabs>
          <w:tab w:val="left" w:pos="1023"/>
        </w:tabs>
        <w:adjustRightInd w:val="0"/>
        <w:snapToGrid w:val="0"/>
        <w:spacing w:line="560" w:lineRule="exact"/>
        <w:jc w:val="both"/>
        <w:rPr>
          <w:b/>
          <w:sz w:val="32"/>
          <w:szCs w:val="32"/>
          <w:lang w:eastAsia="zh-CN"/>
        </w:rPr>
      </w:pPr>
      <w:r>
        <w:rPr>
          <w:rFonts w:hint="eastAsia"/>
          <w:b/>
          <w:sz w:val="32"/>
          <w:szCs w:val="32"/>
          <w:lang w:eastAsia="zh-CN"/>
        </w:rPr>
        <w:t>2.法定数字货币的货币政策传导渠道与机制</w:t>
      </w:r>
    </w:p>
    <w:p>
      <w:pPr>
        <w:pStyle w:val="5"/>
        <w:tabs>
          <w:tab w:val="left" w:pos="1023"/>
        </w:tabs>
        <w:adjustRightInd w:val="0"/>
        <w:snapToGrid w:val="0"/>
        <w:spacing w:line="560" w:lineRule="exact"/>
        <w:ind w:firstLine="640" w:firstLineChars="200"/>
        <w:jc w:val="both"/>
        <w:rPr>
          <w:sz w:val="32"/>
          <w:szCs w:val="32"/>
          <w:lang w:eastAsia="zh-CN"/>
        </w:rPr>
      </w:pPr>
      <w:r>
        <w:rPr>
          <w:rFonts w:hint="eastAsia"/>
          <w:sz w:val="32"/>
          <w:szCs w:val="32"/>
          <w:lang w:eastAsia="zh-CN"/>
        </w:rPr>
        <w:t>发现与辨识法定数字货币条件下货币政策的微观基础、渠道传导与宏观影响，以及法定数字货币带来的潜在货币政策创新。</w:t>
      </w:r>
    </w:p>
    <w:p>
      <w:pPr>
        <w:numPr>
          <w:numId w:val="0"/>
        </w:numPr>
        <w:tabs>
          <w:tab w:val="left" w:pos="1023"/>
        </w:tabs>
        <w:adjustRightInd w:val="0"/>
        <w:snapToGrid w:val="0"/>
        <w:spacing w:line="560" w:lineRule="exact"/>
        <w:jc w:val="both"/>
        <w:rPr>
          <w:b/>
          <w:sz w:val="32"/>
          <w:szCs w:val="32"/>
          <w:lang w:eastAsia="zh-CN"/>
        </w:rPr>
      </w:pPr>
      <w:r>
        <w:rPr>
          <w:rFonts w:hint="eastAsia"/>
          <w:b/>
          <w:sz w:val="32"/>
          <w:szCs w:val="32"/>
          <w:lang w:eastAsia="zh-CN"/>
        </w:rPr>
        <w:t>3.法定数字货币与隐私保护</w:t>
      </w:r>
    </w:p>
    <w:p>
      <w:pPr>
        <w:pStyle w:val="5"/>
        <w:tabs>
          <w:tab w:val="left" w:pos="1023"/>
        </w:tabs>
        <w:adjustRightInd w:val="0"/>
        <w:snapToGrid w:val="0"/>
        <w:spacing w:line="560" w:lineRule="exact"/>
        <w:ind w:firstLine="640" w:firstLineChars="200"/>
        <w:jc w:val="both"/>
        <w:rPr>
          <w:sz w:val="32"/>
          <w:szCs w:val="32"/>
          <w:lang w:eastAsia="zh-CN"/>
        </w:rPr>
      </w:pPr>
      <w:r>
        <w:rPr>
          <w:rFonts w:hint="eastAsia"/>
          <w:sz w:val="32"/>
          <w:szCs w:val="32"/>
          <w:lang w:eastAsia="zh-CN"/>
        </w:rPr>
        <w:t>法定数字货币需要很好地在保障个人用户隐私、信息安全与履行反洗钱、反恐怖主义融资、反大规模杀伤性武器扩散融资等“三反”义务之间保持平衡，这已成为国际共识。因此，法学、经济学、计算机科学以及安全学等相关学科及交叉学科研究可能提供制度、技术层面的解决思路与可行方案。</w:t>
      </w:r>
    </w:p>
    <w:p>
      <w:pPr>
        <w:tabs>
          <w:tab w:val="left" w:pos="1023"/>
        </w:tabs>
        <w:adjustRightInd w:val="0"/>
        <w:snapToGrid w:val="0"/>
        <w:spacing w:line="560" w:lineRule="exact"/>
        <w:ind w:left="302" w:hanging="302" w:hangingChars="94"/>
        <w:jc w:val="both"/>
        <w:rPr>
          <w:b/>
          <w:sz w:val="32"/>
          <w:szCs w:val="32"/>
          <w:lang w:eastAsia="zh-CN"/>
        </w:rPr>
      </w:pPr>
      <w:r>
        <w:rPr>
          <w:b/>
          <w:sz w:val="32"/>
          <w:szCs w:val="32"/>
          <w:lang w:eastAsia="zh-CN"/>
        </w:rPr>
        <w:t>4</w:t>
      </w:r>
      <w:r>
        <w:rPr>
          <w:rFonts w:hint="eastAsia"/>
          <w:b/>
          <w:sz w:val="32"/>
          <w:szCs w:val="32"/>
          <w:lang w:eastAsia="zh-CN"/>
        </w:rPr>
        <w:t>.智能合约法律问题</w:t>
      </w:r>
    </w:p>
    <w:p>
      <w:pPr>
        <w:pStyle w:val="5"/>
        <w:tabs>
          <w:tab w:val="left" w:pos="1023"/>
        </w:tabs>
        <w:adjustRightInd w:val="0"/>
        <w:snapToGrid w:val="0"/>
        <w:spacing w:line="560" w:lineRule="exact"/>
        <w:ind w:firstLine="640" w:firstLineChars="200"/>
        <w:jc w:val="both"/>
        <w:rPr>
          <w:sz w:val="32"/>
          <w:szCs w:val="32"/>
          <w:lang w:eastAsia="zh-CN"/>
        </w:rPr>
      </w:pPr>
      <w:r>
        <w:rPr>
          <w:rFonts w:hint="eastAsia"/>
          <w:sz w:val="32"/>
          <w:szCs w:val="32"/>
          <w:lang w:eastAsia="zh-CN"/>
        </w:rPr>
        <w:t>有观点认为“智能合约”（</w:t>
      </w:r>
      <w:r>
        <w:rPr>
          <w:sz w:val="32"/>
          <w:szCs w:val="32"/>
          <w:lang w:eastAsia="zh-CN"/>
        </w:rPr>
        <w:t>Smart C</w:t>
      </w:r>
      <w:r>
        <w:rPr>
          <w:rFonts w:hint="eastAsia"/>
          <w:sz w:val="32"/>
          <w:szCs w:val="32"/>
          <w:lang w:eastAsia="zh-CN"/>
        </w:rPr>
        <w:t>ontract）既非“智能”（没有认知功能，仅为触发条件后自动执行），亦非“合约”（并非法律意义的合同），但是“智能合约”作为一种新兴技术已经展现出光明的应用前景，例如，加载“智能合约”的“可编程支付”将可能重构支付服务市场。但是“智能合约”的应用也会产生诸多法律问题，比如，“如果发生A，则支付B”的代码规则及代码集合如何用于复杂的法律关系；在引入第三方时如何谨慎处理相关法律风险；合同执行的自动化如何与合同的灵活性相兼容等。这些相关的法律问题是任何一种新技术在发展与演进过程中必须面对与解决的。</w:t>
      </w:r>
    </w:p>
    <w:p>
      <w:pPr>
        <w:pStyle w:val="5"/>
        <w:tabs>
          <w:tab w:val="left" w:pos="1023"/>
        </w:tabs>
        <w:adjustRightInd w:val="0"/>
        <w:snapToGrid w:val="0"/>
        <w:spacing w:line="560" w:lineRule="exact"/>
        <w:ind w:firstLine="640" w:firstLineChars="200"/>
        <w:jc w:val="both"/>
        <w:rPr>
          <w:sz w:val="32"/>
          <w:szCs w:val="32"/>
          <w:lang w:eastAsia="zh-CN"/>
        </w:rPr>
      </w:pPr>
    </w:p>
    <w:p>
      <w:pPr>
        <w:tabs>
          <w:tab w:val="left" w:pos="1023"/>
        </w:tabs>
        <w:adjustRightInd w:val="0"/>
        <w:snapToGrid w:val="0"/>
        <w:spacing w:line="560" w:lineRule="exact"/>
        <w:jc w:val="center"/>
        <w:rPr>
          <w:b/>
          <w:sz w:val="32"/>
          <w:szCs w:val="32"/>
          <w:lang w:eastAsia="zh-CN"/>
        </w:rPr>
      </w:pPr>
      <w:r>
        <w:rPr>
          <w:rFonts w:hint="eastAsia"/>
          <w:b/>
          <w:sz w:val="32"/>
          <w:szCs w:val="32"/>
          <w:lang w:eastAsia="zh-CN"/>
        </w:rPr>
        <w:t>技术创新研究</w:t>
      </w:r>
    </w:p>
    <w:p>
      <w:pPr>
        <w:tabs>
          <w:tab w:val="left" w:pos="1023"/>
        </w:tabs>
        <w:adjustRightInd w:val="0"/>
        <w:snapToGrid w:val="0"/>
        <w:spacing w:line="560" w:lineRule="exact"/>
        <w:jc w:val="center"/>
        <w:rPr>
          <w:b/>
          <w:sz w:val="32"/>
          <w:szCs w:val="32"/>
          <w:lang w:eastAsia="zh-CN"/>
        </w:rPr>
      </w:pPr>
    </w:p>
    <w:p>
      <w:pPr>
        <w:numPr>
          <w:numId w:val="0"/>
        </w:numPr>
        <w:tabs>
          <w:tab w:val="left" w:pos="1023"/>
        </w:tabs>
        <w:adjustRightInd w:val="0"/>
        <w:snapToGrid w:val="0"/>
        <w:spacing w:line="560" w:lineRule="exact"/>
        <w:jc w:val="both"/>
        <w:rPr>
          <w:b/>
          <w:sz w:val="32"/>
          <w:szCs w:val="32"/>
          <w:lang w:eastAsia="zh-CN"/>
        </w:rPr>
      </w:pPr>
      <w:r>
        <w:rPr>
          <w:b/>
          <w:sz w:val="32"/>
          <w:szCs w:val="32"/>
          <w:lang w:eastAsia="zh-CN"/>
        </w:rPr>
        <w:t>5</w:t>
      </w:r>
      <w:r>
        <w:rPr>
          <w:rFonts w:hint="eastAsia"/>
          <w:b/>
          <w:sz w:val="32"/>
          <w:szCs w:val="32"/>
          <w:lang w:eastAsia="zh-CN"/>
        </w:rPr>
        <w:t>.法定数字货币交易反洗钱监管关键技术创新研究</w:t>
      </w:r>
    </w:p>
    <w:p>
      <w:pPr>
        <w:numPr>
          <w:numId w:val="0"/>
        </w:numPr>
        <w:tabs>
          <w:tab w:val="left" w:pos="1023"/>
        </w:tabs>
        <w:adjustRightInd w:val="0"/>
        <w:snapToGrid w:val="0"/>
        <w:spacing w:line="560" w:lineRule="exact"/>
        <w:ind w:firstLine="640" w:firstLineChars="200"/>
        <w:jc w:val="both"/>
        <w:rPr>
          <w:sz w:val="32"/>
          <w:szCs w:val="32"/>
          <w:lang w:eastAsia="zh-CN"/>
        </w:rPr>
      </w:pPr>
      <w:r>
        <w:rPr>
          <w:rFonts w:hint="eastAsia"/>
          <w:sz w:val="32"/>
          <w:szCs w:val="32"/>
          <w:lang w:eastAsia="zh-CN"/>
        </w:rPr>
        <w:t>反洗钱是移动支付面临的重要监管需求，可从犯罪用户身份识别、虚假交易识别、基于隐私计算的联合风控、大数据、创新的人工智能算法和反洗钱模型等多角度和多维度进行风险管控。在法定数字货币的双层运营体系下，反洗钱也是重要的监管任务。课题要求基于数字人民币的应用场景，提出反洗钱的创新技术方案和必要的原型系统。</w:t>
      </w:r>
    </w:p>
    <w:p>
      <w:pPr>
        <w:numPr>
          <w:numId w:val="0"/>
        </w:numPr>
        <w:tabs>
          <w:tab w:val="left" w:pos="1023"/>
        </w:tabs>
        <w:adjustRightInd w:val="0"/>
        <w:snapToGrid w:val="0"/>
        <w:spacing w:line="560" w:lineRule="exact"/>
        <w:jc w:val="both"/>
        <w:rPr>
          <w:b/>
          <w:sz w:val="32"/>
          <w:szCs w:val="32"/>
          <w:lang w:eastAsia="zh-CN"/>
        </w:rPr>
      </w:pPr>
      <w:r>
        <w:rPr>
          <w:b/>
          <w:sz w:val="32"/>
          <w:szCs w:val="32"/>
          <w:lang w:eastAsia="zh-CN"/>
        </w:rPr>
        <w:t>6</w:t>
      </w:r>
      <w:r>
        <w:rPr>
          <w:rFonts w:hint="eastAsia"/>
          <w:b/>
          <w:sz w:val="32"/>
          <w:szCs w:val="32"/>
          <w:lang w:eastAsia="zh-CN"/>
        </w:rPr>
        <w:t>.法定数字货币智能合约系统关键技术</w:t>
      </w:r>
    </w:p>
    <w:p>
      <w:pPr>
        <w:tabs>
          <w:tab w:val="left" w:pos="1023"/>
        </w:tabs>
        <w:adjustRightInd w:val="0"/>
        <w:snapToGrid w:val="0"/>
        <w:spacing w:line="560" w:lineRule="exact"/>
        <w:ind w:firstLine="640" w:firstLineChars="200"/>
        <w:jc w:val="both"/>
        <w:rPr>
          <w:sz w:val="32"/>
          <w:szCs w:val="32"/>
          <w:lang w:eastAsia="zh-CN"/>
        </w:rPr>
      </w:pPr>
      <w:r>
        <w:rPr>
          <w:rFonts w:hint="eastAsia"/>
          <w:sz w:val="32"/>
          <w:szCs w:val="32"/>
          <w:lang w:eastAsia="zh-CN"/>
        </w:rPr>
        <w:t>法定数字货币智能合约系统关键技术以法定数字货币为底层平台和核心，面向货币职能的智能合约关键技术创新。智能合约具有透明可信、自动执行、强制履约的优点，与法定数字货币相结合后可应用于条件支付、约时支付等业务场景，有利于发挥货币职能。围绕法定数字货币研发需求，聚焦合约语言、虚拟机、编译器等智能合约系统相关的关键技术，具有创新的学术思想，有明确、先进的研究目标，有科学、可行的研究方案。</w:t>
      </w:r>
    </w:p>
    <w:p>
      <w:pPr>
        <w:numPr>
          <w:numId w:val="0"/>
        </w:numPr>
        <w:tabs>
          <w:tab w:val="left" w:pos="1023"/>
        </w:tabs>
        <w:adjustRightInd w:val="0"/>
        <w:snapToGrid w:val="0"/>
        <w:spacing w:line="560" w:lineRule="exact"/>
        <w:jc w:val="both"/>
        <w:rPr>
          <w:b/>
          <w:sz w:val="32"/>
          <w:szCs w:val="32"/>
          <w:lang w:eastAsia="zh-CN"/>
        </w:rPr>
      </w:pPr>
      <w:r>
        <w:rPr>
          <w:b/>
          <w:sz w:val="32"/>
          <w:szCs w:val="32"/>
          <w:lang w:eastAsia="zh-CN"/>
        </w:rPr>
        <w:t>7</w:t>
      </w:r>
      <w:r>
        <w:rPr>
          <w:rFonts w:hint="eastAsia"/>
          <w:b/>
          <w:sz w:val="32"/>
          <w:szCs w:val="32"/>
          <w:lang w:eastAsia="zh-CN"/>
        </w:rPr>
        <w:t>.法定数字货币硬钱包创新安全支付增强方案研究</w:t>
      </w:r>
    </w:p>
    <w:p>
      <w:pPr>
        <w:numPr>
          <w:numId w:val="0"/>
        </w:numPr>
        <w:tabs>
          <w:tab w:val="left" w:pos="1023"/>
        </w:tabs>
        <w:adjustRightInd w:val="0"/>
        <w:snapToGrid w:val="0"/>
        <w:spacing w:line="560" w:lineRule="exact"/>
        <w:ind w:firstLine="640" w:firstLineChars="200"/>
        <w:jc w:val="both"/>
        <w:rPr>
          <w:sz w:val="32"/>
          <w:szCs w:val="32"/>
          <w:lang w:eastAsia="zh-CN"/>
        </w:rPr>
      </w:pPr>
      <w:r>
        <w:rPr>
          <w:rFonts w:hint="eastAsia"/>
          <w:sz w:val="32"/>
          <w:szCs w:val="32"/>
          <w:lang w:eastAsia="zh-CN"/>
        </w:rPr>
        <w:t>法定数字货币可依托安全芯片上的硬钱包提供离线支付等功能。课题要求结合国密算法、应用安全、系统安全、底层软件安全、面向软件安全的硬件设计、硬件安全等相关创新设计思路，研究用于央行法定数字货币的硬件钱包方案，支持基于TEE、SE、eSE、inSE、SIM、eSIM、5G</w:t>
      </w:r>
      <w:r>
        <w:rPr>
          <w:sz w:val="32"/>
          <w:szCs w:val="32"/>
          <w:lang w:eastAsia="zh-CN"/>
        </w:rPr>
        <w:t xml:space="preserve"> </w:t>
      </w:r>
      <w:r>
        <w:rPr>
          <w:rFonts w:hint="eastAsia"/>
          <w:sz w:val="32"/>
          <w:szCs w:val="32"/>
          <w:lang w:eastAsia="zh-CN"/>
        </w:rPr>
        <w:t>Sim、集成Secure</w:t>
      </w:r>
      <w:r>
        <w:rPr>
          <w:sz w:val="32"/>
          <w:szCs w:val="32"/>
          <w:lang w:eastAsia="zh-CN"/>
        </w:rPr>
        <w:t xml:space="preserve"> </w:t>
      </w:r>
      <w:r>
        <w:rPr>
          <w:rFonts w:hint="eastAsia"/>
          <w:sz w:val="32"/>
          <w:szCs w:val="32"/>
          <w:lang w:eastAsia="zh-CN"/>
        </w:rPr>
        <w:t>Enclave等平台部署，提出支持密码安全运算、密钥安全管理、安全存储、安全认证、安全运行等保障能力的可信安全体系，能抵御相关安全攻击，实现支付交易场景下的用户可信、设备可信、应用可信、业务可信等目标，整体方案具有形式化模型和安全性证明，要求提出创新设计方案和必要的原型系统。</w:t>
      </w:r>
    </w:p>
    <w:p>
      <w:pPr>
        <w:tabs>
          <w:tab w:val="left" w:pos="1023"/>
        </w:tabs>
        <w:adjustRightInd w:val="0"/>
        <w:snapToGrid w:val="0"/>
        <w:spacing w:line="560" w:lineRule="exact"/>
        <w:jc w:val="center"/>
        <w:rPr>
          <w:b/>
          <w:sz w:val="32"/>
          <w:szCs w:val="32"/>
          <w:lang w:eastAsia="zh-CN"/>
        </w:rPr>
      </w:pPr>
    </w:p>
    <w:p>
      <w:pPr>
        <w:tabs>
          <w:tab w:val="left" w:pos="1023"/>
        </w:tabs>
        <w:adjustRightInd w:val="0"/>
        <w:snapToGrid w:val="0"/>
        <w:spacing w:line="560" w:lineRule="exact"/>
        <w:jc w:val="center"/>
        <w:rPr>
          <w:b/>
          <w:sz w:val="32"/>
          <w:szCs w:val="32"/>
          <w:lang w:eastAsia="zh-CN"/>
        </w:rPr>
      </w:pPr>
      <w:r>
        <w:rPr>
          <w:rFonts w:hint="eastAsia"/>
          <w:b/>
          <w:sz w:val="32"/>
          <w:szCs w:val="32"/>
          <w:lang w:eastAsia="zh-CN"/>
        </w:rPr>
        <w:t>应用创新研究</w:t>
      </w:r>
    </w:p>
    <w:p>
      <w:pPr>
        <w:tabs>
          <w:tab w:val="left" w:pos="1023"/>
        </w:tabs>
        <w:adjustRightInd w:val="0"/>
        <w:snapToGrid w:val="0"/>
        <w:spacing w:line="560" w:lineRule="exact"/>
        <w:jc w:val="center"/>
        <w:rPr>
          <w:b/>
          <w:sz w:val="32"/>
          <w:szCs w:val="32"/>
          <w:lang w:eastAsia="zh-CN"/>
        </w:rPr>
      </w:pPr>
    </w:p>
    <w:p>
      <w:pPr>
        <w:numPr>
          <w:numId w:val="0"/>
        </w:numPr>
        <w:tabs>
          <w:tab w:val="left" w:pos="1023"/>
        </w:tabs>
        <w:adjustRightInd w:val="0"/>
        <w:snapToGrid w:val="0"/>
        <w:spacing w:line="560" w:lineRule="exact"/>
        <w:jc w:val="both"/>
        <w:rPr>
          <w:b/>
          <w:sz w:val="32"/>
          <w:szCs w:val="32"/>
          <w:lang w:eastAsia="zh-CN"/>
        </w:rPr>
      </w:pPr>
      <w:r>
        <w:rPr>
          <w:b/>
          <w:sz w:val="32"/>
          <w:szCs w:val="32"/>
          <w:lang w:eastAsia="zh-CN"/>
        </w:rPr>
        <w:t>8</w:t>
      </w:r>
      <w:r>
        <w:rPr>
          <w:rFonts w:hint="eastAsia"/>
          <w:b/>
          <w:sz w:val="32"/>
          <w:szCs w:val="32"/>
          <w:lang w:eastAsia="zh-CN"/>
        </w:rPr>
        <w:t>.基于</w:t>
      </w:r>
      <w:r>
        <w:rPr>
          <w:b/>
          <w:sz w:val="32"/>
          <w:szCs w:val="32"/>
          <w:lang w:eastAsia="zh-CN"/>
        </w:rPr>
        <w:t xml:space="preserve"> 5G </w:t>
      </w:r>
      <w:r>
        <w:rPr>
          <w:rFonts w:hint="eastAsia"/>
          <w:b/>
          <w:sz w:val="32"/>
          <w:szCs w:val="32"/>
          <w:lang w:eastAsia="zh-CN"/>
        </w:rPr>
        <w:t>和物联网新技术的法定数字货币应用场景创新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sz w:val="32"/>
          <w:szCs w:val="32"/>
          <w:lang w:eastAsia="zh-CN"/>
        </w:rPr>
        <w:t>5G不仅仅是下一代高速网络通信技术和新的产业互联基础设施，将带来许多万物互联的创新应用场景，许多新技术和物联网设备可借助5G高速通信，给支付行业带来巨大的畅想空间。5G新技术场景和法定数字货币的组合创新将产生许多创新的应用场景。课题要求提供法定数字货币在此类领域应用创新的技术方案和原型系统。</w:t>
      </w: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7A040B2"/>
    <w:rsid w:val="000A5E8A"/>
    <w:rsid w:val="001578B8"/>
    <w:rsid w:val="0048262C"/>
    <w:rsid w:val="093B32E2"/>
    <w:rsid w:val="37A040B2"/>
    <w:rsid w:val="73AA512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character" w:default="1" w:styleId="3">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Body Text"/>
    <w:basedOn w:val="1"/>
    <w:qFormat/>
    <w:uiPriority w:val="1"/>
    <w:pPr>
      <w:ind w:left="120" w:firstLine="640"/>
    </w:pPr>
    <w:rPr>
      <w:sz w:val="32"/>
      <w:szCs w:val="32"/>
    </w:rPr>
  </w:style>
  <w:style w:type="paragraph" w:customStyle="1" w:styleId="5">
    <w:name w:val="List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227</Words>
  <Characters>1296</Characters>
  <Lines>10</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2021-03-26T06:32:00Z</dcterms:created>
  <dc:creator>72</dc:creator>
  <cp:lastModifiedBy>user</cp:lastModifiedBy>
  <dcterms:modified xsi:type="dcterms:W3CDTF">2021-03-26T09:56:37Z</dcterms:modified>
  <dc:title>法定数字货币创新研究开放课题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